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D18" w:rsidRDefault="00781B4E">
      <w:pPr>
        <w:tabs>
          <w:tab w:val="center" w:pos="4536"/>
          <w:tab w:val="right" w:pos="9639"/>
        </w:tabs>
        <w:spacing w:beforeLines="50" w:before="120" w:afterLines="50" w:after="120"/>
        <w:ind w:right="2"/>
        <w:jc w:val="both"/>
        <w:rPr>
          <w:rFonts w:ascii="Arial" w:eastAsia="宋体" w:hAnsi="Arial" w:cs="Arial"/>
          <w:b/>
          <w:bCs/>
          <w:kern w:val="2"/>
          <w:sz w:val="22"/>
          <w:szCs w:val="22"/>
          <w:lang w:val="en-US" w:eastAsia="ja-JP"/>
        </w:rPr>
      </w:pPr>
      <w:bookmarkStart w:id="0" w:name="_GoBack"/>
      <w:bookmarkEnd w:id="0"/>
      <w:r>
        <w:rPr>
          <w:rFonts w:ascii="Arial" w:eastAsia="宋体" w:hAnsi="Arial" w:cs="Arial"/>
          <w:b/>
          <w:bCs/>
          <w:kern w:val="2"/>
          <w:sz w:val="22"/>
          <w:szCs w:val="22"/>
          <w:lang w:val="en-US" w:eastAsia="ja-JP"/>
        </w:rPr>
        <w:t>3GPP TSG RAN WG1 meeting #111</w:t>
      </w:r>
      <w:r>
        <w:rPr>
          <w:rFonts w:ascii="Arial" w:eastAsia="宋体" w:hAnsi="Arial" w:cs="Arial"/>
          <w:b/>
          <w:bCs/>
          <w:kern w:val="2"/>
          <w:sz w:val="22"/>
          <w:szCs w:val="22"/>
          <w:lang w:val="en-US" w:eastAsia="ja-JP"/>
        </w:rPr>
        <w:tab/>
      </w:r>
      <w:r>
        <w:rPr>
          <w:rFonts w:ascii="Arial" w:eastAsia="宋体" w:hAnsi="Arial" w:cs="Arial"/>
          <w:b/>
          <w:bCs/>
          <w:kern w:val="2"/>
          <w:sz w:val="22"/>
          <w:szCs w:val="22"/>
          <w:lang w:val="en-US" w:eastAsia="ja-JP"/>
        </w:rPr>
        <w:tab/>
        <w:t xml:space="preserve">                                   R1-2211898</w:t>
      </w:r>
    </w:p>
    <w:p w:rsidR="00D43D18" w:rsidRDefault="00781B4E">
      <w:pPr>
        <w:tabs>
          <w:tab w:val="center" w:pos="4536"/>
          <w:tab w:val="right" w:pos="9639"/>
        </w:tabs>
        <w:spacing w:beforeLines="50" w:before="120" w:afterLines="50" w:after="120"/>
        <w:ind w:right="2"/>
        <w:jc w:val="both"/>
        <w:rPr>
          <w:rFonts w:ascii="Arial" w:eastAsia="宋体" w:hAnsi="Arial" w:cs="Arial"/>
          <w:b/>
          <w:bCs/>
          <w:kern w:val="2"/>
          <w:sz w:val="22"/>
          <w:szCs w:val="22"/>
          <w:lang w:val="en-US" w:eastAsia="ja-JP"/>
        </w:rPr>
      </w:pPr>
      <w:r>
        <w:rPr>
          <w:rFonts w:ascii="Arial" w:eastAsia="宋体" w:hAnsi="Arial" w:cs="Arial"/>
          <w:b/>
          <w:bCs/>
          <w:kern w:val="2"/>
          <w:sz w:val="22"/>
          <w:szCs w:val="22"/>
          <w:lang w:val="en-US" w:eastAsia="ja-JP"/>
        </w:rPr>
        <w:t>Toulouse, France, November 14</w:t>
      </w:r>
      <w:r>
        <w:rPr>
          <w:rFonts w:ascii="Arial" w:eastAsia="宋体" w:hAnsi="Arial" w:cs="Arial"/>
          <w:b/>
          <w:bCs/>
          <w:kern w:val="2"/>
          <w:sz w:val="22"/>
          <w:szCs w:val="22"/>
          <w:vertAlign w:val="superscript"/>
          <w:lang w:val="en-US" w:eastAsia="ja-JP"/>
        </w:rPr>
        <w:t>th</w:t>
      </w:r>
      <w:r>
        <w:rPr>
          <w:rFonts w:ascii="Arial" w:eastAsia="宋体" w:hAnsi="Arial" w:cs="Arial"/>
          <w:b/>
          <w:bCs/>
          <w:kern w:val="2"/>
          <w:sz w:val="22"/>
          <w:szCs w:val="22"/>
          <w:lang w:val="en-US" w:eastAsia="ja-JP"/>
        </w:rPr>
        <w:t xml:space="preserve"> – 18</w:t>
      </w:r>
      <w:r>
        <w:rPr>
          <w:rFonts w:ascii="Arial" w:eastAsia="宋体" w:hAnsi="Arial" w:cs="Arial"/>
          <w:b/>
          <w:bCs/>
          <w:kern w:val="2"/>
          <w:sz w:val="22"/>
          <w:szCs w:val="22"/>
          <w:vertAlign w:val="superscript"/>
          <w:lang w:val="en-US" w:eastAsia="ja-JP"/>
        </w:rPr>
        <w:t>th</w:t>
      </w:r>
      <w:r>
        <w:rPr>
          <w:rFonts w:ascii="Arial" w:eastAsia="宋体" w:hAnsi="Arial" w:cs="Arial"/>
          <w:b/>
          <w:bCs/>
          <w:kern w:val="2"/>
          <w:sz w:val="22"/>
          <w:szCs w:val="22"/>
          <w:lang w:val="en-US" w:eastAsia="ja-JP"/>
        </w:rPr>
        <w:t>, 2022</w:t>
      </w:r>
    </w:p>
    <w:p w:rsidR="00D43D18" w:rsidRDefault="00D43D18">
      <w:pPr>
        <w:spacing w:after="180"/>
        <w:jc w:val="both"/>
        <w:rPr>
          <w:rFonts w:ascii="Arial" w:eastAsia="Malgun Gothic" w:hAnsi="Arial" w:cs="Arial"/>
          <w:lang w:val="en-GB"/>
        </w:rPr>
      </w:pPr>
    </w:p>
    <w:p w:rsidR="00D43D18" w:rsidRDefault="00781B4E">
      <w:pPr>
        <w:spacing w:after="180"/>
        <w:ind w:left="2127" w:hanging="2127"/>
        <w:jc w:val="both"/>
        <w:rPr>
          <w:rFonts w:ascii="Arial" w:eastAsia="Malgun Gothic" w:hAnsi="Arial" w:cs="Arial"/>
          <w:b/>
          <w:lang w:val="en-GB"/>
        </w:rPr>
      </w:pPr>
      <w:r>
        <w:rPr>
          <w:rFonts w:ascii="Arial" w:eastAsia="Malgun Gothic" w:hAnsi="Arial" w:cs="Arial"/>
          <w:b/>
          <w:lang w:val="en-GB"/>
        </w:rPr>
        <w:t>Source:</w:t>
      </w:r>
      <w:r>
        <w:rPr>
          <w:rFonts w:ascii="Arial" w:eastAsia="Malgun Gothic" w:hAnsi="Arial" w:cs="Arial"/>
          <w:b/>
          <w:lang w:val="en-GB"/>
        </w:rPr>
        <w:tab/>
        <w:t>ZTE, Sanechips</w:t>
      </w:r>
    </w:p>
    <w:p w:rsidR="00D43D18" w:rsidRDefault="00781B4E">
      <w:pPr>
        <w:spacing w:after="180"/>
        <w:ind w:left="2127" w:hanging="2127"/>
        <w:jc w:val="both"/>
        <w:rPr>
          <w:rFonts w:ascii="Arial" w:eastAsia="Malgun Gothic" w:hAnsi="Arial" w:cs="Arial"/>
          <w:b/>
          <w:lang w:val="en-GB"/>
        </w:rPr>
      </w:pPr>
      <w:r>
        <w:rPr>
          <w:rFonts w:ascii="Arial" w:eastAsia="Malgun Gothic" w:hAnsi="Arial" w:cs="Arial"/>
          <w:b/>
          <w:lang w:val="en-GB"/>
        </w:rPr>
        <w:t>Title:</w:t>
      </w:r>
      <w:r>
        <w:rPr>
          <w:rFonts w:ascii="Arial" w:eastAsia="Malgun Gothic" w:hAnsi="Arial" w:cs="Arial"/>
          <w:b/>
          <w:lang w:val="en-GB"/>
        </w:rPr>
        <w:tab/>
        <w:t>Discussion on XR and Media Services</w:t>
      </w:r>
    </w:p>
    <w:p w:rsidR="00D43D18" w:rsidRDefault="00781B4E">
      <w:pPr>
        <w:spacing w:after="180"/>
        <w:ind w:left="2127" w:hanging="2127"/>
        <w:jc w:val="both"/>
        <w:rPr>
          <w:rFonts w:ascii="Arial" w:eastAsia="宋体" w:hAnsi="Arial" w:cs="Arial"/>
          <w:b/>
          <w:lang w:val="en-US" w:eastAsia="zh-CN"/>
        </w:rPr>
      </w:pPr>
      <w:r>
        <w:rPr>
          <w:rFonts w:ascii="Arial" w:eastAsia="Malgun Gothic" w:hAnsi="Arial" w:cs="Arial"/>
          <w:b/>
          <w:lang w:val="en-GB"/>
        </w:rPr>
        <w:t>Document for:</w:t>
      </w:r>
      <w:r>
        <w:rPr>
          <w:rFonts w:ascii="Arial" w:eastAsia="Malgun Gothic" w:hAnsi="Arial" w:cs="Arial"/>
          <w:b/>
          <w:lang w:val="en-GB"/>
        </w:rPr>
        <w:tab/>
        <w:t>Discussion/</w:t>
      </w:r>
      <w:r>
        <w:rPr>
          <w:rFonts w:ascii="Arial" w:eastAsia="宋体" w:hAnsi="Arial" w:cs="Arial" w:hint="eastAsia"/>
          <w:b/>
          <w:lang w:val="en-US" w:eastAsia="zh-CN"/>
        </w:rPr>
        <w:t>Decision</w:t>
      </w:r>
    </w:p>
    <w:p w:rsidR="00D43D18" w:rsidRDefault="00781B4E">
      <w:pPr>
        <w:spacing w:after="180"/>
        <w:ind w:left="2127" w:hanging="2127"/>
        <w:jc w:val="both"/>
        <w:rPr>
          <w:rFonts w:ascii="Arial" w:eastAsia="Malgun Gothic" w:hAnsi="Arial" w:cs="Arial"/>
          <w:b/>
          <w:lang w:val="en-GB"/>
        </w:rPr>
      </w:pPr>
      <w:r>
        <w:rPr>
          <w:rFonts w:ascii="Arial" w:eastAsia="Malgun Gothic" w:hAnsi="Arial" w:cs="Arial"/>
          <w:b/>
          <w:lang w:val="en-GB"/>
        </w:rPr>
        <w:t>Agenda Item:</w:t>
      </w:r>
      <w:r>
        <w:rPr>
          <w:rFonts w:ascii="Arial" w:eastAsia="Malgun Gothic" w:hAnsi="Arial" w:cs="Arial"/>
          <w:b/>
          <w:lang w:val="en-GB"/>
        </w:rPr>
        <w:tab/>
        <w:t>5</w:t>
      </w:r>
    </w:p>
    <w:p w:rsidR="00D43D18" w:rsidRDefault="00781B4E">
      <w:pPr>
        <w:spacing w:after="180"/>
        <w:ind w:left="2127" w:hanging="2127"/>
        <w:jc w:val="both"/>
        <w:rPr>
          <w:rFonts w:ascii="Arial" w:eastAsia="Malgun Gothic" w:hAnsi="Arial" w:cs="Arial"/>
          <w:b/>
          <w:lang w:val="en-GB"/>
        </w:rPr>
      </w:pPr>
      <w:r>
        <w:rPr>
          <w:rFonts w:ascii="Arial" w:eastAsia="Malgun Gothic" w:hAnsi="Arial" w:cs="Arial"/>
          <w:b/>
          <w:lang w:val="en-GB"/>
        </w:rPr>
        <w:t>Work Item</w:t>
      </w:r>
      <w:r>
        <w:rPr>
          <w:rFonts w:ascii="Arial" w:eastAsia="Malgun Gothic" w:hAnsi="Arial" w:cs="Arial"/>
          <w:b/>
          <w:lang w:val="en-GB"/>
        </w:rPr>
        <w:t xml:space="preserve"> / Release:</w:t>
      </w:r>
      <w:r>
        <w:rPr>
          <w:rFonts w:ascii="Arial" w:eastAsia="Malgun Gothic" w:hAnsi="Arial" w:cs="Arial"/>
          <w:b/>
          <w:lang w:val="en-GB"/>
        </w:rPr>
        <w:tab/>
        <w:t>FS_XRM</w:t>
      </w:r>
      <w:r>
        <w:rPr>
          <w:rFonts w:ascii="Arial" w:eastAsia="Malgun Gothic" w:hAnsi="Arial" w:cs="Arial" w:hint="eastAsia"/>
          <w:b/>
          <w:lang w:val="en-GB"/>
        </w:rPr>
        <w:t>, FS_NR_XR_enh</w:t>
      </w:r>
      <w:r>
        <w:rPr>
          <w:rFonts w:ascii="Arial" w:eastAsia="Malgun Gothic" w:hAnsi="Arial" w:cs="Arial"/>
          <w:b/>
          <w:lang w:val="en-GB"/>
        </w:rPr>
        <w:t>/Rel-18</w:t>
      </w:r>
    </w:p>
    <w:p w:rsidR="00D43D18" w:rsidRDefault="00781B4E">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en-GB"/>
        </w:rPr>
      </w:pPr>
      <w:r>
        <w:rPr>
          <w:rFonts w:ascii="Arial" w:eastAsia="宋体" w:hAnsi="Arial" w:cs="Arial"/>
          <w:sz w:val="32"/>
          <w:szCs w:val="36"/>
          <w:lang w:val="en-GB" w:eastAsia="en-GB"/>
        </w:rPr>
        <w:t>Discussion</w:t>
      </w:r>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 xml:space="preserve"> In</w:t>
      </w:r>
      <w:r>
        <w:rPr>
          <w:rFonts w:ascii="Arial" w:eastAsia="等线" w:hAnsi="Arial" w:cs="Arial"/>
          <w:bCs/>
        </w:rPr>
        <w:t xml:space="preserve"> SA2’s LS reply (S2-2209979) [1] on UE power saving for XR and media services</w:t>
      </w:r>
      <w:r>
        <w:rPr>
          <w:rFonts w:ascii="Arial" w:eastAsia="等线" w:hAnsi="Arial" w:cs="Arial"/>
          <w:bCs/>
        </w:rPr>
        <w:t xml:space="preserve">, </w:t>
      </w:r>
      <w:r>
        <w:rPr>
          <w:rFonts w:ascii="Arial" w:eastAsia="等线" w:hAnsi="Arial" w:cs="Arial"/>
          <w:bCs/>
        </w:rPr>
        <w:t>the following issue is discussed:</w:t>
      </w:r>
    </w:p>
    <w:tbl>
      <w:tblPr>
        <w:tblStyle w:val="ab"/>
        <w:tblW w:w="0" w:type="auto"/>
        <w:tblLook w:val="04A0" w:firstRow="1" w:lastRow="0" w:firstColumn="1" w:lastColumn="0" w:noHBand="0" w:noVBand="1"/>
      </w:tblPr>
      <w:tblGrid>
        <w:gridCol w:w="9629"/>
      </w:tblGrid>
      <w:tr w:rsidR="00D43D18">
        <w:tc>
          <w:tcPr>
            <w:tcW w:w="9629" w:type="dxa"/>
          </w:tcPr>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In KI#8 (Power Saving), as to RAN1’s LS reply (R1-2205531/S2-2208105), SA2 notes that RAN1 indicates that it may be helpful for the core network to provide RAN with the following pieces of information: PDU set periodicity and start time, PDU set end indica</w:t>
            </w:r>
            <w:r>
              <w:rPr>
                <w:rFonts w:ascii="Arial" w:eastAsia="等线" w:hAnsi="Arial" w:cs="Arial"/>
                <w:bCs/>
              </w:rPr>
              <w:t xml:space="preserve">tion, PDU set level QoS parameters, PDU set size (number of bits) or number of PDUs in a PDU set, PDU set identity and relationship information among PDUs within the same PDU set, and Jitter information. SA2 would like to inform RAN1 that relying on above </w:t>
            </w:r>
            <w:r>
              <w:rPr>
                <w:rFonts w:ascii="Arial" w:eastAsia="等线" w:hAnsi="Arial" w:cs="Arial"/>
                <w:bCs/>
              </w:rPr>
              <w:t xml:space="preserve">listed PDU Set information alone may not result in an optimal CDRX configuration, since a data burst may include one or multiple PDU </w:t>
            </w:r>
            <w:r>
              <w:rPr>
                <w:rFonts w:ascii="Arial" w:eastAsia="等线" w:hAnsi="Arial" w:cs="Arial" w:hint="eastAsia"/>
                <w:bCs/>
              </w:rPr>
              <w:t>Set</w:t>
            </w:r>
            <w:r>
              <w:rPr>
                <w:rFonts w:ascii="Arial" w:eastAsia="等线" w:hAnsi="Arial" w:cs="Arial"/>
                <w:bCs/>
              </w:rPr>
              <w:t xml:space="preserve">s. As a result, e.g. a PDU set end indication may or may not mark the end of a Data Burst. (See agreed pCR </w:t>
            </w:r>
            <w:hyperlink r:id="rId13" w:history="1">
              <w:r>
                <w:rPr>
                  <w:rFonts w:ascii="Arial" w:eastAsia="等线" w:hAnsi="Arial" w:cs="Arial"/>
                  <w:bCs/>
                </w:rPr>
                <w:t>S2-2209939</w:t>
              </w:r>
            </w:hyperlink>
            <w:r>
              <w:rPr>
                <w:rFonts w:ascii="Arial" w:eastAsia="等线" w:hAnsi="Arial" w:cs="Arial"/>
                <w:bCs/>
              </w:rPr>
              <w:t>)</w:t>
            </w:r>
          </w:p>
        </w:tc>
      </w:tr>
    </w:tbl>
    <w:p w:rsidR="00D43D18" w:rsidRDefault="00D43D18">
      <w:pPr>
        <w:overflowPunct w:val="0"/>
        <w:adjustRightInd w:val="0"/>
        <w:spacing w:after="180"/>
        <w:jc w:val="both"/>
        <w:textAlignment w:val="baseline"/>
        <w:rPr>
          <w:rFonts w:ascii="Arial" w:eastAsia="等线" w:hAnsi="Arial" w:cs="Arial"/>
          <w:bCs/>
        </w:rPr>
      </w:pPr>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 xml:space="preserve">For key issue#8, in case of a data bust includes multiple PDU sets, in our understanding, the PDU set end indication can be useless since that doesn’t mean the </w:t>
      </w:r>
      <w:r>
        <w:rPr>
          <w:rFonts w:ascii="Arial" w:eastAsia="等线" w:hAnsi="Arial" w:cs="Arial"/>
          <w:bCs/>
        </w:rPr>
        <w:t>end of a data bust. Thus</w:t>
      </w:r>
      <w:r>
        <w:rPr>
          <w:rFonts w:ascii="Arial" w:eastAsia="等线" w:hAnsi="Arial" w:cs="Arial"/>
          <w:bCs/>
        </w:rPr>
        <w:t>,</w:t>
      </w:r>
      <w:r>
        <w:rPr>
          <w:rFonts w:ascii="Arial" w:eastAsia="等线" w:hAnsi="Arial" w:cs="Arial"/>
          <w:bCs/>
        </w:rPr>
        <w:t xml:space="preserve"> gNB cannot deliver a </w:t>
      </w:r>
      <w:r>
        <w:rPr>
          <w:rFonts w:ascii="Arial" w:eastAsia="等线" w:hAnsi="Arial" w:cs="Arial"/>
          <w:bCs/>
        </w:rPr>
        <w:t>go-</w:t>
      </w:r>
      <w:r>
        <w:rPr>
          <w:rFonts w:ascii="Arial" w:eastAsia="等线" w:hAnsi="Arial" w:cs="Arial"/>
          <w:bCs/>
        </w:rPr>
        <w:t>to</w:t>
      </w:r>
      <w:r>
        <w:rPr>
          <w:rFonts w:ascii="Arial" w:eastAsia="等线" w:hAnsi="Arial" w:cs="Arial"/>
          <w:bCs/>
        </w:rPr>
        <w:t>-</w:t>
      </w:r>
      <w:r>
        <w:rPr>
          <w:rFonts w:ascii="Arial" w:eastAsia="等线" w:hAnsi="Arial" w:cs="Arial"/>
          <w:bCs/>
        </w:rPr>
        <w:t>sleep signaling to UE after getting this information.</w:t>
      </w:r>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However, as concluded in section 8.8 in TR 23.700-60, the end of Data Burst indication can be obtained. And we think this information is helpful</w:t>
      </w:r>
      <w:r>
        <w:rPr>
          <w:rFonts w:ascii="Arial" w:eastAsia="等线" w:hAnsi="Arial" w:cs="Arial"/>
          <w:bCs/>
        </w:rPr>
        <w:t xml:space="preserve"> the gNB</w:t>
      </w:r>
      <w:r>
        <w:rPr>
          <w:rFonts w:ascii="Arial" w:eastAsia="等线" w:hAnsi="Arial" w:cs="Arial"/>
          <w:bCs/>
        </w:rPr>
        <w:t xml:space="preserve">, </w:t>
      </w:r>
      <w:r>
        <w:rPr>
          <w:rFonts w:ascii="Arial" w:eastAsia="等线" w:hAnsi="Arial" w:cs="Arial"/>
          <w:bCs/>
        </w:rPr>
        <w:lastRenderedPageBreak/>
        <w:t>for example,</w:t>
      </w:r>
      <w:r>
        <w:rPr>
          <w:rFonts w:ascii="Arial" w:eastAsia="等线" w:hAnsi="Arial" w:cs="Arial"/>
          <w:bCs/>
        </w:rPr>
        <w:t xml:space="preserve"> to end the onDurationTimer/InactivityTimer in advance based on the end of Data burst indication for saving power. It can be implemented via a MAC CE signaling after finishing data burs</w:t>
      </w:r>
      <w:r>
        <w:rPr>
          <w:rFonts w:ascii="Arial" w:eastAsia="等线" w:hAnsi="Arial" w:cs="Arial"/>
          <w:bCs/>
        </w:rPr>
        <w:t>t transmission in a traffic cycle.</w:t>
      </w:r>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In addition, the definition of PDU set end indication can be different from the meaning of end of Data Burst indication, which should be clarified in SA2.</w:t>
      </w:r>
    </w:p>
    <w:p w:rsidR="00D43D18" w:rsidRDefault="00781B4E">
      <w:pPr>
        <w:overflowPunct w:val="0"/>
        <w:adjustRightInd w:val="0"/>
        <w:spacing w:after="180"/>
        <w:jc w:val="both"/>
        <w:textAlignment w:val="baseline"/>
        <w:rPr>
          <w:rFonts w:ascii="Arial" w:eastAsia="等线" w:hAnsi="Arial" w:cs="Arial"/>
          <w:b/>
          <w:bCs/>
        </w:rPr>
      </w:pPr>
      <w:r>
        <w:rPr>
          <w:rFonts w:ascii="Arial" w:eastAsia="等线" w:hAnsi="Arial" w:cs="Arial"/>
          <w:b/>
          <w:bCs/>
        </w:rPr>
        <w:t xml:space="preserve">Proposal 1: Provide the information to SA2 that RAN1 confirms PDU </w:t>
      </w:r>
      <w:r>
        <w:rPr>
          <w:rFonts w:ascii="Arial" w:eastAsia="等线" w:hAnsi="Arial" w:cs="Arial"/>
          <w:b/>
          <w:bCs/>
        </w:rPr>
        <w:t>set end indication can be useless but the end of Data Burst indication can be helpful for reducing the active time.</w:t>
      </w:r>
    </w:p>
    <w:p w:rsidR="00D43D18" w:rsidRDefault="00781B4E">
      <w:pPr>
        <w:overflowPunct w:val="0"/>
        <w:adjustRightInd w:val="0"/>
        <w:spacing w:after="180"/>
        <w:jc w:val="both"/>
        <w:textAlignment w:val="baseline"/>
        <w:rPr>
          <w:rFonts w:ascii="Arial" w:eastAsia="等线" w:hAnsi="Arial" w:cs="Arial"/>
          <w:b/>
          <w:bCs/>
        </w:rPr>
      </w:pPr>
      <w:r>
        <w:rPr>
          <w:rFonts w:ascii="Arial" w:eastAsia="等线" w:hAnsi="Arial" w:cs="Arial"/>
          <w:b/>
          <w:bCs/>
        </w:rPr>
        <w:t>Proposal 2: The definition difference between PDU set end indication and the meaning of end of Data Burst indication should be clarified.</w:t>
      </w:r>
    </w:p>
    <w:p w:rsidR="00D43D18" w:rsidRDefault="00781B4E">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en-GB"/>
        </w:rPr>
      </w:pPr>
      <w:r>
        <w:rPr>
          <w:rFonts w:ascii="Arial" w:eastAsia="宋体" w:hAnsi="Arial" w:cs="Arial"/>
          <w:sz w:val="32"/>
          <w:szCs w:val="36"/>
          <w:lang w:val="en-GB" w:eastAsia="en-GB"/>
        </w:rPr>
        <w:t>Co</w:t>
      </w:r>
      <w:r>
        <w:rPr>
          <w:rFonts w:ascii="Arial" w:eastAsia="宋体" w:hAnsi="Arial" w:cs="Arial"/>
          <w:sz w:val="32"/>
          <w:szCs w:val="36"/>
          <w:lang w:val="en-GB" w:eastAsia="en-GB"/>
        </w:rPr>
        <w:t>nclusion</w:t>
      </w:r>
    </w:p>
    <w:p w:rsidR="00D43D18" w:rsidRDefault="00781B4E">
      <w:pPr>
        <w:overflowPunct w:val="0"/>
        <w:adjustRightInd w:val="0"/>
        <w:spacing w:after="180"/>
        <w:jc w:val="both"/>
        <w:textAlignment w:val="baseline"/>
        <w:rPr>
          <w:rFonts w:ascii="Arial" w:eastAsia="等线" w:hAnsi="Arial" w:cs="Arial"/>
          <w:b/>
          <w:bCs/>
        </w:rPr>
      </w:pPr>
      <w:r>
        <w:rPr>
          <w:rFonts w:ascii="Arial" w:eastAsia="等线" w:hAnsi="Arial" w:cs="Arial"/>
          <w:b/>
          <w:bCs/>
        </w:rPr>
        <w:t>Proposal 1: Provide the information to SA2 that RAN1 confirms PDU set end indication can be useless but the end of Data Burst indication can be helpful for reducing the active time.</w:t>
      </w:r>
    </w:p>
    <w:p w:rsidR="00D43D18" w:rsidRDefault="00781B4E">
      <w:pPr>
        <w:overflowPunct w:val="0"/>
        <w:adjustRightInd w:val="0"/>
        <w:spacing w:after="180"/>
        <w:jc w:val="both"/>
        <w:textAlignment w:val="baseline"/>
        <w:rPr>
          <w:rFonts w:ascii="Arial" w:eastAsia="等线" w:hAnsi="Arial" w:cs="Arial"/>
          <w:b/>
          <w:bCs/>
        </w:rPr>
      </w:pPr>
      <w:r>
        <w:rPr>
          <w:rFonts w:ascii="Arial" w:eastAsia="等线" w:hAnsi="Arial" w:cs="Arial"/>
          <w:b/>
          <w:bCs/>
        </w:rPr>
        <w:t>Proposal 2: The definition difference between PDU set end indicat</w:t>
      </w:r>
      <w:r>
        <w:rPr>
          <w:rFonts w:ascii="Arial" w:eastAsia="等线" w:hAnsi="Arial" w:cs="Arial"/>
          <w:b/>
          <w:bCs/>
        </w:rPr>
        <w:t>ion and the meaning of end of Data Burst indication should be clarified.</w:t>
      </w:r>
    </w:p>
    <w:p w:rsidR="00D43D18" w:rsidRDefault="00D43D18">
      <w:pPr>
        <w:tabs>
          <w:tab w:val="left" w:pos="4050"/>
        </w:tabs>
        <w:spacing w:after="120"/>
        <w:rPr>
          <w:rFonts w:ascii="Arial" w:hAnsi="Arial" w:cs="Arial"/>
          <w:bCs/>
        </w:rPr>
      </w:pPr>
    </w:p>
    <w:p w:rsidR="00D43D18" w:rsidRDefault="00781B4E">
      <w:pPr>
        <w:keepNext/>
        <w:keepLines/>
        <w:widowControl w:val="0"/>
        <w:numPr>
          <w:ilvl w:val="0"/>
          <w:numId w:val="5"/>
        </w:numPr>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en-GB"/>
        </w:rPr>
      </w:pPr>
      <w:bookmarkStart w:id="1" w:name="_Toc18403976"/>
      <w:bookmarkStart w:id="2" w:name="_Toc18404543"/>
      <w:bookmarkStart w:id="3" w:name="_Toc18413612"/>
      <w:r>
        <w:rPr>
          <w:rFonts w:ascii="Arial" w:eastAsia="宋体" w:hAnsi="Arial" w:cs="Arial"/>
          <w:sz w:val="32"/>
          <w:szCs w:val="36"/>
          <w:lang w:val="en-GB" w:eastAsia="en-GB"/>
        </w:rPr>
        <w:t>References</w:t>
      </w:r>
      <w:bookmarkEnd w:id="1"/>
      <w:bookmarkEnd w:id="2"/>
      <w:bookmarkEnd w:id="3"/>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[1] 3GPP, R1-2210826, LS on XR and Media Services.</w:t>
      </w:r>
    </w:p>
    <w:p w:rsidR="00D43D18" w:rsidRDefault="00781B4E">
      <w:pPr>
        <w:overflowPunct w:val="0"/>
        <w:adjustRightInd w:val="0"/>
        <w:spacing w:after="180"/>
        <w:jc w:val="both"/>
        <w:textAlignment w:val="baseline"/>
        <w:rPr>
          <w:rFonts w:ascii="Arial" w:eastAsia="等线" w:hAnsi="Arial" w:cs="Arial"/>
          <w:bCs/>
        </w:rPr>
      </w:pPr>
      <w:r>
        <w:rPr>
          <w:rFonts w:ascii="Arial" w:eastAsia="等线" w:hAnsi="Arial" w:cs="Arial"/>
          <w:bCs/>
        </w:rPr>
        <w:t>[2] TR 23.700-60, TSG SA Study on XR (Extended Reality) and media services.</w:t>
      </w:r>
    </w:p>
    <w:p w:rsidR="00D43D18" w:rsidRDefault="00781B4E">
      <w:pPr>
        <w:keepNext/>
        <w:keepLines/>
        <w:widowControl w:val="0"/>
        <w:pBdr>
          <w:top w:val="single" w:sz="12" w:space="3" w:color="auto"/>
        </w:pBdr>
        <w:overflowPunct w:val="0"/>
        <w:autoSpaceDE w:val="0"/>
        <w:autoSpaceDN w:val="0"/>
        <w:adjustRightInd w:val="0"/>
        <w:spacing w:before="240" w:after="180" w:line="259" w:lineRule="auto"/>
        <w:jc w:val="both"/>
        <w:textAlignment w:val="baseline"/>
        <w:outlineLvl w:val="0"/>
        <w:rPr>
          <w:rFonts w:ascii="Arial" w:eastAsia="宋体" w:hAnsi="Arial" w:cs="Arial"/>
          <w:sz w:val="32"/>
          <w:szCs w:val="36"/>
          <w:lang w:val="en-GB" w:eastAsia="en-GB"/>
        </w:rPr>
      </w:pPr>
      <w:r>
        <w:rPr>
          <w:rFonts w:ascii="Arial" w:eastAsia="宋体" w:hAnsi="Arial" w:cs="Arial"/>
          <w:sz w:val="32"/>
          <w:szCs w:val="36"/>
          <w:lang w:val="en-GB" w:eastAsia="en-GB"/>
        </w:rPr>
        <w:lastRenderedPageBreak/>
        <w:t>Appendix A</w:t>
      </w:r>
    </w:p>
    <w:p w:rsidR="00D43D18" w:rsidRDefault="00D43D18">
      <w:pPr>
        <w:tabs>
          <w:tab w:val="left" w:pos="4050"/>
        </w:tabs>
        <w:spacing w:after="120"/>
        <w:rPr>
          <w:rFonts w:ascii="Arial" w:hAnsi="Arial" w:cs="Arial"/>
          <w:bCs/>
          <w:lang w:val="en-GB"/>
        </w:rPr>
      </w:pPr>
    </w:p>
    <w:p w:rsidR="00D43D18" w:rsidRDefault="00781B4E">
      <w:pPr>
        <w:tabs>
          <w:tab w:val="left" w:pos="4050"/>
        </w:tabs>
        <w:spacing w:after="120"/>
        <w:rPr>
          <w:bCs/>
          <w:lang w:val="sv-SE"/>
        </w:rPr>
      </w:pPr>
      <w:r>
        <w:rPr>
          <w:rFonts w:eastAsiaTheme="minorEastAsia"/>
          <w:bCs/>
          <w:lang w:val="sv-SE" w:eastAsia="zh-CN"/>
        </w:rPr>
        <w:t>----------</w:t>
      </w:r>
      <w:r w:rsidR="00C626BF">
        <w:rPr>
          <w:rFonts w:eastAsiaTheme="minorEastAsia"/>
          <w:bCs/>
          <w:lang w:val="sv-SE" w:eastAsia="zh-CN"/>
        </w:rPr>
        <w:t>S</w:t>
      </w:r>
      <w:r w:rsidR="00C626BF">
        <w:rPr>
          <w:rFonts w:eastAsiaTheme="minorEastAsia"/>
          <w:bCs/>
          <w:lang w:val="sv-SE" w:eastAsia="zh-CN"/>
        </w:rPr>
        <w:t xml:space="preserve">ection </w:t>
      </w:r>
      <w:r>
        <w:rPr>
          <w:rFonts w:eastAsiaTheme="minorEastAsia"/>
          <w:bCs/>
          <w:lang w:val="sv-SE" w:eastAsia="zh-CN"/>
        </w:rPr>
        <w:t xml:space="preserve">8 in TR </w:t>
      </w:r>
      <w:r>
        <w:rPr>
          <w:rFonts w:eastAsiaTheme="minorEastAsia"/>
          <w:bCs/>
          <w:lang w:val="sv-SE" w:eastAsia="zh-CN"/>
        </w:rPr>
        <w:t>23.700-60---------------</w:t>
      </w:r>
    </w:p>
    <w:p w:rsidR="00D43D18" w:rsidRDefault="00781B4E">
      <w:pPr>
        <w:keepNext/>
        <w:keepLines/>
        <w:spacing w:before="180" w:after="180"/>
        <w:ind w:left="1134" w:hanging="1134"/>
        <w:outlineLvl w:val="1"/>
        <w:rPr>
          <w:rFonts w:ascii="Arial" w:eastAsia="等线" w:hAnsi="Arial"/>
          <w:sz w:val="32"/>
          <w:lang w:val="en-GB"/>
        </w:rPr>
      </w:pPr>
      <w:bookmarkStart w:id="4" w:name="_Toc117119264"/>
      <w:r>
        <w:rPr>
          <w:rFonts w:ascii="Arial" w:eastAsia="等线" w:hAnsi="Arial"/>
          <w:sz w:val="32"/>
          <w:lang w:val="en-GB"/>
        </w:rPr>
        <w:t>8.</w:t>
      </w:r>
      <w:r>
        <w:rPr>
          <w:rFonts w:ascii="Arial" w:eastAsia="等线" w:hAnsi="Arial" w:hint="eastAsia"/>
          <w:sz w:val="32"/>
          <w:lang w:val="en-GB" w:eastAsia="zh-CN"/>
        </w:rPr>
        <w:t>8</w:t>
      </w:r>
      <w:r>
        <w:rPr>
          <w:rFonts w:ascii="Arial" w:eastAsia="等线" w:hAnsi="Arial"/>
          <w:sz w:val="32"/>
          <w:lang w:val="en-GB"/>
        </w:rPr>
        <w:tab/>
        <w:t>Interim Conclusion for Key Issue #8</w:t>
      </w:r>
      <w:bookmarkEnd w:id="4"/>
    </w:p>
    <w:p w:rsidR="00D43D18" w:rsidRDefault="00781B4E">
      <w:pPr>
        <w:spacing w:after="180"/>
        <w:rPr>
          <w:rFonts w:eastAsia="宋体"/>
          <w:lang w:val="en-GB"/>
        </w:rPr>
      </w:pPr>
      <w:r>
        <w:rPr>
          <w:rFonts w:eastAsia="宋体"/>
          <w:lang w:val="en-GB"/>
        </w:rPr>
        <w:t xml:space="preserve">The following information, to be provided to the NG-RAN at PDU Session Establishment/Modification via an NGAP Message, is taken as baseline for normative work: </w:t>
      </w:r>
    </w:p>
    <w:p w:rsidR="00D43D18" w:rsidRDefault="00781B4E">
      <w:pPr>
        <w:overflowPunct w:val="0"/>
        <w:autoSpaceDE w:val="0"/>
        <w:autoSpaceDN w:val="0"/>
        <w:adjustRightInd w:val="0"/>
        <w:spacing w:after="180"/>
        <w:ind w:left="568" w:hanging="284"/>
        <w:textAlignment w:val="baseline"/>
        <w:rPr>
          <w:lang w:val="en-GB" w:eastAsia="en-GB"/>
        </w:rPr>
      </w:pPr>
      <w:r>
        <w:rPr>
          <w:lang w:val="en-GB" w:eastAsia="en-GB"/>
        </w:rPr>
        <w:t>-</w:t>
      </w:r>
      <w:r>
        <w:rPr>
          <w:lang w:val="en-GB" w:eastAsia="en-GB"/>
        </w:rPr>
        <w:tab/>
      </w:r>
      <w:r>
        <w:rPr>
          <w:lang w:val="en-GB" w:eastAsia="en-GB"/>
        </w:rPr>
        <w:t>Periodicity for UL and DL traffic of the QoS Flow. In addition to integer periodicity values, non-integer values associated to, e.g., 45FPS, 60 FPS, 90FPS, 120FPS, shall be supported. Such information shall be exchanged by re-using/extending the TSCAI/TSCA</w:t>
      </w:r>
      <w:r>
        <w:rPr>
          <w:lang w:val="en-GB" w:eastAsia="en-GB"/>
        </w:rPr>
        <w:t xml:space="preserve">C definitions in TS 23.501 clause 5.27.2.1. </w:t>
      </w:r>
    </w:p>
    <w:p w:rsidR="00D43D18" w:rsidRDefault="00781B4E">
      <w:pPr>
        <w:keepLines/>
        <w:overflowPunct w:val="0"/>
        <w:autoSpaceDE w:val="0"/>
        <w:autoSpaceDN w:val="0"/>
        <w:adjustRightInd w:val="0"/>
        <w:spacing w:after="180"/>
        <w:ind w:left="1560" w:hanging="1276"/>
        <w:textAlignment w:val="baseline"/>
        <w:rPr>
          <w:rFonts w:eastAsia="等线"/>
          <w:color w:val="FF0000"/>
          <w:lang w:val="en-GB" w:eastAsia="zh-CN"/>
        </w:rPr>
      </w:pPr>
      <w:r>
        <w:rPr>
          <w:rFonts w:eastAsia="等线"/>
          <w:color w:val="FF0000"/>
          <w:lang w:val="en-GB" w:eastAsia="en-GB"/>
        </w:rPr>
        <w:t>Editor's Note:</w:t>
      </w:r>
      <w:r>
        <w:rPr>
          <w:rFonts w:eastAsia="等线"/>
          <w:color w:val="FF0000"/>
          <w:lang w:val="en-GB" w:eastAsia="en-GB"/>
        </w:rPr>
        <w:tab/>
        <w:t xml:space="preserve">If the PDU sets with the Periodicity (e.g., 45FPS, 60 FPS, 90FPS, 120FPS) are mapped into different QoS Flows, it is FFS whether the same Periodicity still exists and whether the same Periodicity </w:t>
      </w:r>
      <w:r>
        <w:rPr>
          <w:rFonts w:eastAsia="等线"/>
          <w:color w:val="FF0000"/>
          <w:lang w:val="en-GB" w:eastAsia="en-GB"/>
        </w:rPr>
        <w:t xml:space="preserve">can be used for the UL and DL traffic of each QoS Flow. </w:t>
      </w:r>
    </w:p>
    <w:p w:rsidR="00D43D18" w:rsidRDefault="00781B4E">
      <w:pPr>
        <w:keepLines/>
        <w:overflowPunct w:val="0"/>
        <w:autoSpaceDE w:val="0"/>
        <w:autoSpaceDN w:val="0"/>
        <w:adjustRightInd w:val="0"/>
        <w:spacing w:after="180"/>
        <w:ind w:left="1135" w:hanging="851"/>
        <w:textAlignment w:val="baseline"/>
        <w:rPr>
          <w:lang w:val="en-GB" w:eastAsia="en-GB"/>
        </w:rPr>
      </w:pPr>
      <w:r>
        <w:rPr>
          <w:lang w:val="en-GB" w:eastAsia="en-GB"/>
        </w:rPr>
        <w:t xml:space="preserve">NOTE 1: </w:t>
      </w:r>
      <w:r>
        <w:rPr>
          <w:lang w:val="en-GB" w:eastAsia="en-GB"/>
        </w:rPr>
        <w:tab/>
        <w:t xml:space="preserve">The above information can be provided to the 5GC by the AF via an NEF API. The 5GC can further derive, or be configured, with such information. </w:t>
      </w:r>
    </w:p>
    <w:p w:rsidR="00D43D18" w:rsidRDefault="00781B4E">
      <w:pPr>
        <w:keepLines/>
        <w:overflowPunct w:val="0"/>
        <w:autoSpaceDE w:val="0"/>
        <w:autoSpaceDN w:val="0"/>
        <w:adjustRightInd w:val="0"/>
        <w:spacing w:after="180"/>
        <w:ind w:left="1560" w:hanging="1276"/>
        <w:textAlignment w:val="baseline"/>
        <w:rPr>
          <w:rFonts w:eastAsia="等线"/>
          <w:color w:val="FF0000"/>
          <w:lang w:val="en-GB" w:eastAsia="en-GB"/>
        </w:rPr>
      </w:pPr>
      <w:r>
        <w:rPr>
          <w:rFonts w:eastAsia="等线"/>
          <w:color w:val="FF0000"/>
          <w:lang w:val="en-GB" w:eastAsia="en-GB"/>
        </w:rPr>
        <w:t>Editor's Note:</w:t>
      </w:r>
      <w:r>
        <w:rPr>
          <w:rFonts w:eastAsia="等线"/>
          <w:color w:val="FF0000"/>
          <w:lang w:val="en-GB" w:eastAsia="en-GB"/>
        </w:rPr>
        <w:tab/>
        <w:t xml:space="preserve">How 5GC derives the above </w:t>
      </w:r>
      <w:r>
        <w:rPr>
          <w:rFonts w:eastAsia="等线"/>
          <w:color w:val="FF0000"/>
          <w:lang w:val="en-GB" w:eastAsia="en-GB"/>
        </w:rPr>
        <w:t>information is FFS.</w:t>
      </w:r>
    </w:p>
    <w:p w:rsidR="00D43D18" w:rsidRDefault="00781B4E">
      <w:pPr>
        <w:overflowPunct w:val="0"/>
        <w:autoSpaceDE w:val="0"/>
        <w:autoSpaceDN w:val="0"/>
        <w:adjustRightInd w:val="0"/>
        <w:spacing w:after="180"/>
        <w:ind w:left="568" w:hanging="284"/>
        <w:textAlignment w:val="baseline"/>
        <w:rPr>
          <w:lang w:val="en-GB" w:eastAsia="en-GB"/>
        </w:rPr>
      </w:pPr>
      <w:r>
        <w:rPr>
          <w:lang w:val="en-GB" w:eastAsia="en-GB"/>
        </w:rPr>
        <w:t>-</w:t>
      </w:r>
      <w:r>
        <w:rPr>
          <w:lang w:val="en-GB" w:eastAsia="en-GB"/>
        </w:rPr>
        <w:tab/>
        <w:t>Traffic jitter information associated with each periodicity.</w:t>
      </w:r>
    </w:p>
    <w:p w:rsidR="00D43D18" w:rsidRDefault="00781B4E">
      <w:pPr>
        <w:keepLines/>
        <w:overflowPunct w:val="0"/>
        <w:autoSpaceDE w:val="0"/>
        <w:autoSpaceDN w:val="0"/>
        <w:adjustRightInd w:val="0"/>
        <w:spacing w:after="180"/>
        <w:ind w:left="1560" w:hanging="1276"/>
        <w:textAlignment w:val="baseline"/>
        <w:rPr>
          <w:rFonts w:eastAsia="等线"/>
          <w:color w:val="FF0000"/>
          <w:lang w:val="en-GB" w:eastAsia="en-GB"/>
        </w:rPr>
      </w:pPr>
      <w:r>
        <w:rPr>
          <w:rFonts w:eastAsia="等线"/>
          <w:color w:val="FF0000"/>
          <w:lang w:val="en-GB" w:eastAsia="en-GB"/>
        </w:rPr>
        <w:t>Editor's Note:</w:t>
      </w:r>
      <w:r>
        <w:rPr>
          <w:rFonts w:eastAsia="等线"/>
          <w:color w:val="FF0000"/>
          <w:lang w:val="en-GB" w:eastAsia="en-GB"/>
        </w:rPr>
        <w:tab/>
        <w:t>How 5GC derives the above information is FFS.</w:t>
      </w:r>
    </w:p>
    <w:p w:rsidR="00D43D18" w:rsidRDefault="00781B4E">
      <w:pPr>
        <w:spacing w:after="180"/>
        <w:rPr>
          <w:rFonts w:eastAsia="宋体"/>
          <w:lang w:val="en-GB"/>
        </w:rPr>
      </w:pPr>
      <w:r>
        <w:rPr>
          <w:rFonts w:eastAsia="宋体"/>
          <w:lang w:val="en-GB"/>
        </w:rPr>
        <w:t xml:space="preserve">The AF may provide assistant information to 5GC and assist the UPF to detect the end of Data Burst: </w:t>
      </w:r>
    </w:p>
    <w:p w:rsidR="00D43D18" w:rsidRDefault="00781B4E">
      <w:pPr>
        <w:keepLines/>
        <w:overflowPunct w:val="0"/>
        <w:autoSpaceDE w:val="0"/>
        <w:autoSpaceDN w:val="0"/>
        <w:adjustRightInd w:val="0"/>
        <w:spacing w:after="180"/>
        <w:ind w:left="1135" w:hanging="851"/>
        <w:textAlignment w:val="baseline"/>
        <w:rPr>
          <w:lang w:val="en-GB" w:eastAsia="en-GB"/>
        </w:rPr>
      </w:pPr>
      <w:r>
        <w:rPr>
          <w:lang w:val="en-GB" w:eastAsia="en-GB"/>
        </w:rPr>
        <w:t xml:space="preserve">NOTE </w:t>
      </w:r>
      <w:r>
        <w:rPr>
          <w:rFonts w:eastAsia="等线" w:hint="eastAsia"/>
          <w:lang w:val="en-GB" w:eastAsia="zh-CN"/>
        </w:rPr>
        <w:t>2</w:t>
      </w:r>
      <w:r>
        <w:rPr>
          <w:lang w:val="en-GB" w:eastAsia="en-GB"/>
        </w:rPr>
        <w:t xml:space="preserve">: </w:t>
      </w:r>
      <w:r>
        <w:rPr>
          <w:lang w:val="en-GB" w:eastAsia="en-GB"/>
        </w:rPr>
        <w:tab/>
        <w:t>Wh</w:t>
      </w:r>
      <w:r>
        <w:rPr>
          <w:lang w:val="en-GB" w:eastAsia="en-GB"/>
        </w:rPr>
        <w:t>ether this assistant information based on indication of only one media unit within each data burst or based on RTP extension header or both can be discussed in normative work.</w:t>
      </w:r>
    </w:p>
    <w:p w:rsidR="00D43D18" w:rsidRDefault="00781B4E">
      <w:pPr>
        <w:spacing w:after="180"/>
        <w:rPr>
          <w:rFonts w:eastAsia="宋体"/>
          <w:lang w:val="en-GB"/>
        </w:rPr>
      </w:pPr>
      <w:r>
        <w:rPr>
          <w:rFonts w:eastAsia="宋体"/>
          <w:lang w:val="en-GB"/>
        </w:rPr>
        <w:lastRenderedPageBreak/>
        <w:t>The following information for DL traffic, to be provided to the NG-RAN with in-b</w:t>
      </w:r>
      <w:r>
        <w:rPr>
          <w:rFonts w:eastAsia="宋体"/>
          <w:lang w:val="en-GB"/>
        </w:rPr>
        <w:t>and signaling via GTP-U header, is taken as baseline for normative work:</w:t>
      </w:r>
    </w:p>
    <w:p w:rsidR="00D43D18" w:rsidRDefault="00781B4E">
      <w:pPr>
        <w:overflowPunct w:val="0"/>
        <w:autoSpaceDE w:val="0"/>
        <w:autoSpaceDN w:val="0"/>
        <w:adjustRightInd w:val="0"/>
        <w:spacing w:after="180"/>
        <w:ind w:left="568" w:hanging="284"/>
        <w:textAlignment w:val="baseline"/>
        <w:rPr>
          <w:lang w:val="en-GB" w:eastAsia="en-GB"/>
        </w:rPr>
      </w:pPr>
      <w:r>
        <w:rPr>
          <w:lang w:val="en-GB" w:eastAsia="en-GB"/>
        </w:rPr>
        <w:t>-</w:t>
      </w:r>
      <w:r>
        <w:rPr>
          <w:lang w:val="en-GB" w:eastAsia="en-GB"/>
        </w:rPr>
        <w:tab/>
        <w:t>Optional, End of Data Burst indication in the header of the last PDU of the Data Burst.</w:t>
      </w:r>
    </w:p>
    <w:p w:rsidR="00D43D18" w:rsidRDefault="00781B4E">
      <w:pPr>
        <w:overflowPunct w:val="0"/>
        <w:autoSpaceDE w:val="0"/>
        <w:autoSpaceDN w:val="0"/>
        <w:adjustRightInd w:val="0"/>
        <w:spacing w:after="180"/>
        <w:ind w:left="568" w:hanging="284"/>
        <w:textAlignment w:val="baseline"/>
        <w:rPr>
          <w:lang w:val="en-GB" w:eastAsia="en-GB"/>
        </w:rPr>
      </w:pPr>
      <w:r>
        <w:rPr>
          <w:lang w:val="en-GB" w:eastAsia="en-GB"/>
        </w:rPr>
        <w:t xml:space="preserve">NOTE </w:t>
      </w:r>
      <w:r>
        <w:rPr>
          <w:rFonts w:eastAsia="等线" w:hint="eastAsia"/>
          <w:lang w:val="en-GB" w:eastAsia="zh-CN"/>
        </w:rPr>
        <w:t>3</w:t>
      </w:r>
      <w:r>
        <w:rPr>
          <w:lang w:val="en-GB" w:eastAsia="en-GB"/>
        </w:rPr>
        <w:t>:</w:t>
      </w:r>
      <w:r>
        <w:rPr>
          <w:lang w:val="en-GB" w:eastAsia="en-GB"/>
        </w:rPr>
        <w:tab/>
        <w:t>It is assumed that the PDU with the End of data burst indication is received by the N</w:t>
      </w:r>
      <w:r>
        <w:rPr>
          <w:lang w:val="en-GB" w:eastAsia="en-GB"/>
        </w:rPr>
        <w:t xml:space="preserve">G-RAN after all other PDUs of the Data Burst. </w:t>
      </w:r>
    </w:p>
    <w:p w:rsidR="00D43D18" w:rsidRDefault="00781B4E">
      <w:pPr>
        <w:spacing w:after="180"/>
        <w:rPr>
          <w:rFonts w:eastAsia="等线"/>
          <w:lang w:val="en-GB" w:eastAsia="zh-CN"/>
        </w:rPr>
      </w:pPr>
      <w:r>
        <w:rPr>
          <w:rFonts w:eastAsia="宋体"/>
          <w:lang w:val="en-GB"/>
        </w:rPr>
        <w:t xml:space="preserve">The UPF detects the end of a Data Burst the and marks the End of Data Burst indication over GTP-U based on information provided by the AS in the PDU (e.g., “End” in the RTP extended header when only one media </w:t>
      </w:r>
      <w:r>
        <w:rPr>
          <w:rFonts w:eastAsia="宋体"/>
          <w:lang w:val="en-GB"/>
        </w:rPr>
        <w:t>unit (e.g. NAL Unit) within each data burst).</w:t>
      </w:r>
    </w:p>
    <w:p w:rsidR="00D43D18" w:rsidRDefault="00781B4E">
      <w:pPr>
        <w:tabs>
          <w:tab w:val="left" w:pos="4050"/>
        </w:tabs>
        <w:spacing w:after="120"/>
        <w:rPr>
          <w:rFonts w:ascii="Arial" w:eastAsiaTheme="minorEastAsia" w:hAnsi="Arial" w:cs="Arial"/>
          <w:bCs/>
          <w:lang w:val="en-GB" w:eastAsia="zh-CN"/>
        </w:rPr>
      </w:pPr>
      <w:r>
        <w:rPr>
          <w:rFonts w:ascii="Arial" w:eastAsiaTheme="minorEastAsia" w:hAnsi="Arial" w:cs="Arial" w:hint="eastAsia"/>
          <w:bCs/>
          <w:lang w:val="en-GB" w:eastAsia="zh-CN"/>
        </w:rPr>
        <w:t>-</w:t>
      </w:r>
      <w:r>
        <w:rPr>
          <w:rFonts w:ascii="Arial" w:eastAsiaTheme="minorEastAsia" w:hAnsi="Arial" w:cs="Arial"/>
          <w:bCs/>
          <w:lang w:val="en-GB" w:eastAsia="zh-CN"/>
        </w:rPr>
        <w:t>--------------------------------------</w:t>
      </w:r>
    </w:p>
    <w:sectPr w:rsidR="00D43D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B4E" w:rsidRDefault="00781B4E" w:rsidP="00C626BF">
      <w:r>
        <w:separator/>
      </w:r>
    </w:p>
  </w:endnote>
  <w:endnote w:type="continuationSeparator" w:id="0">
    <w:p w:rsidR="00781B4E" w:rsidRDefault="00781B4E" w:rsidP="00C6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B4E" w:rsidRDefault="00781B4E" w:rsidP="00C626BF">
      <w:r>
        <w:separator/>
      </w:r>
    </w:p>
  </w:footnote>
  <w:footnote w:type="continuationSeparator" w:id="0">
    <w:p w:rsidR="00781B4E" w:rsidRDefault="00781B4E" w:rsidP="00C62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02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067"/>
    <w:rsid w:val="0000385D"/>
    <w:rsid w:val="00006FF2"/>
    <w:rsid w:val="00007076"/>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77B13"/>
    <w:rsid w:val="000807F9"/>
    <w:rsid w:val="00083D1D"/>
    <w:rsid w:val="00091FD1"/>
    <w:rsid w:val="00097271"/>
    <w:rsid w:val="000A10AE"/>
    <w:rsid w:val="000A5307"/>
    <w:rsid w:val="000A5D28"/>
    <w:rsid w:val="000B7B70"/>
    <w:rsid w:val="000C290F"/>
    <w:rsid w:val="000D3F7E"/>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000D"/>
    <w:rsid w:val="00296B99"/>
    <w:rsid w:val="0029767D"/>
    <w:rsid w:val="002A1411"/>
    <w:rsid w:val="002A1A89"/>
    <w:rsid w:val="002A65A5"/>
    <w:rsid w:val="002B70FE"/>
    <w:rsid w:val="002D2B7B"/>
    <w:rsid w:val="002D5441"/>
    <w:rsid w:val="002D6F19"/>
    <w:rsid w:val="002E464A"/>
    <w:rsid w:val="003007F7"/>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28F1"/>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87158"/>
    <w:rsid w:val="0049129C"/>
    <w:rsid w:val="0049315E"/>
    <w:rsid w:val="0049341F"/>
    <w:rsid w:val="00493A7E"/>
    <w:rsid w:val="00493E63"/>
    <w:rsid w:val="004A0085"/>
    <w:rsid w:val="004A0545"/>
    <w:rsid w:val="004A0AB7"/>
    <w:rsid w:val="004A293F"/>
    <w:rsid w:val="004A31B6"/>
    <w:rsid w:val="004A6245"/>
    <w:rsid w:val="004A6DAF"/>
    <w:rsid w:val="004B0803"/>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15B"/>
    <w:rsid w:val="00544E28"/>
    <w:rsid w:val="00550A70"/>
    <w:rsid w:val="00553000"/>
    <w:rsid w:val="005538D7"/>
    <w:rsid w:val="00555B00"/>
    <w:rsid w:val="00567BA0"/>
    <w:rsid w:val="00572535"/>
    <w:rsid w:val="00574CB5"/>
    <w:rsid w:val="005838AB"/>
    <w:rsid w:val="00584B08"/>
    <w:rsid w:val="00586194"/>
    <w:rsid w:val="00586749"/>
    <w:rsid w:val="005909CA"/>
    <w:rsid w:val="00595688"/>
    <w:rsid w:val="005A230D"/>
    <w:rsid w:val="005B1091"/>
    <w:rsid w:val="005B49ED"/>
    <w:rsid w:val="005C38C8"/>
    <w:rsid w:val="005C3A20"/>
    <w:rsid w:val="005C577E"/>
    <w:rsid w:val="005C7B67"/>
    <w:rsid w:val="005D29CF"/>
    <w:rsid w:val="005D4DB0"/>
    <w:rsid w:val="005D6E90"/>
    <w:rsid w:val="005E340A"/>
    <w:rsid w:val="005E54CD"/>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91E"/>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1B4E"/>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696D"/>
    <w:rsid w:val="00817A7E"/>
    <w:rsid w:val="00817D05"/>
    <w:rsid w:val="00822947"/>
    <w:rsid w:val="00827222"/>
    <w:rsid w:val="00832A65"/>
    <w:rsid w:val="00832F9F"/>
    <w:rsid w:val="008335BA"/>
    <w:rsid w:val="00834659"/>
    <w:rsid w:val="00834BD7"/>
    <w:rsid w:val="00834CF7"/>
    <w:rsid w:val="0084049C"/>
    <w:rsid w:val="00840950"/>
    <w:rsid w:val="00841710"/>
    <w:rsid w:val="00844354"/>
    <w:rsid w:val="0084436D"/>
    <w:rsid w:val="008510A7"/>
    <w:rsid w:val="0085215B"/>
    <w:rsid w:val="00852F46"/>
    <w:rsid w:val="008530A5"/>
    <w:rsid w:val="00854847"/>
    <w:rsid w:val="00855970"/>
    <w:rsid w:val="0085630E"/>
    <w:rsid w:val="00857D06"/>
    <w:rsid w:val="00861186"/>
    <w:rsid w:val="00865847"/>
    <w:rsid w:val="0086711C"/>
    <w:rsid w:val="00870256"/>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56A3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21D3"/>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87E79"/>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26BF"/>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43D18"/>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0FE1"/>
    <w:rsid w:val="00DC180A"/>
    <w:rsid w:val="00DC6647"/>
    <w:rsid w:val="00DD0E5E"/>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4835"/>
    <w:rsid w:val="00F07BCF"/>
    <w:rsid w:val="00F1297B"/>
    <w:rsid w:val="00F14C32"/>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0105"/>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9DF03AF"/>
    <w:rsid w:val="5C064C4D"/>
    <w:rsid w:val="631C9F20"/>
    <w:rsid w:val="711162B6"/>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1CABBE90-988F-4DF3-9A47-AB7EFBBE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lang w:val="en-IN"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annotation text"/>
    <w:basedOn w:val="a"/>
    <w:link w:val="Char0"/>
    <w:semiHidden/>
    <w:pPr>
      <w:tabs>
        <w:tab w:val="left" w:pos="1418"/>
        <w:tab w:val="left" w:pos="4678"/>
        <w:tab w:val="left" w:pos="5954"/>
        <w:tab w:val="left" w:pos="7088"/>
      </w:tabs>
      <w:spacing w:after="240"/>
      <w:jc w:val="both"/>
    </w:pPr>
    <w:rPr>
      <w:rFonts w:ascii="Arial" w:hAnsi="Arial"/>
    </w:rPr>
  </w:style>
  <w:style w:type="paragraph" w:styleId="a5">
    <w:name w:val="Body Text"/>
    <w:basedOn w:val="a"/>
    <w:link w:val="Char1"/>
    <w:semiHidden/>
    <w:rPr>
      <w:rFonts w:ascii="Arial" w:hAnsi="Arial" w:cs="Arial"/>
      <w:color w:val="FF0000"/>
    </w:rPr>
  </w:style>
  <w:style w:type="paragraph" w:styleId="a6">
    <w:name w:val="Balloon Text"/>
    <w:basedOn w:val="a"/>
    <w:link w:val="Char2"/>
    <w:uiPriority w:val="99"/>
    <w:semiHidden/>
    <w:unhideWhenUsed/>
    <w:qFormat/>
    <w:rPr>
      <w:rFonts w:ascii="Tahoma" w:hAnsi="Tahoma" w:cs="Tahoma"/>
      <w:sz w:val="16"/>
      <w:szCs w:val="16"/>
    </w:rPr>
  </w:style>
  <w:style w:type="paragraph" w:styleId="a7">
    <w:name w:val="footer"/>
    <w:basedOn w:val="a"/>
    <w:semiHidden/>
    <w:pPr>
      <w:tabs>
        <w:tab w:val="center" w:pos="4153"/>
        <w:tab w:val="right" w:pos="8306"/>
      </w:tabs>
    </w:pPr>
  </w:style>
  <w:style w:type="paragraph" w:styleId="a8">
    <w:name w:val="header"/>
    <w:basedOn w:val="a"/>
    <w:link w:val="Char3"/>
    <w:pPr>
      <w:tabs>
        <w:tab w:val="center" w:pos="4153"/>
        <w:tab w:val="right" w:pos="8306"/>
      </w:tabs>
    </w:pPr>
  </w:style>
  <w:style w:type="paragraph" w:styleId="a9">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a">
    <w:name w:val="annotation subject"/>
    <w:basedOn w:val="a4"/>
    <w:next w:val="a4"/>
    <w:link w:val="Char5"/>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style>
  <w:style w:type="character" w:styleId="ad">
    <w:name w:val="Hyperlink"/>
    <w:uiPriority w:val="99"/>
    <w:unhideWhenUsed/>
    <w:qFormat/>
    <w:rPr>
      <w:color w:val="0000FF"/>
      <w:u w:val="single"/>
    </w:rPr>
  </w:style>
  <w:style w:type="character" w:styleId="ae">
    <w:name w:val="annotation reference"/>
    <w:semiHidden/>
    <w:qFormat/>
    <w:rPr>
      <w:sz w:val="16"/>
    </w:rPr>
  </w:style>
  <w:style w:type="character" w:customStyle="1" w:styleId="Char2">
    <w:name w:val="批注框文本 Char"/>
    <w:link w:val="a6"/>
    <w:uiPriority w:val="99"/>
    <w:semiHidden/>
    <w:qFormat/>
    <w:rPr>
      <w:rFonts w:ascii="Tahoma" w:hAnsi="Tahoma" w:cs="Tahoma"/>
      <w:sz w:val="16"/>
      <w:szCs w:val="16"/>
      <w:lang w:val="en-GB"/>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
    <w:name w:val="??"/>
    <w:pPr>
      <w:widowControl w:val="0"/>
    </w:pPr>
    <w:rPr>
      <w:lang w:eastAsia="en-US"/>
    </w:rPr>
  </w:style>
  <w:style w:type="paragraph" w:customStyle="1" w:styleId="20">
    <w:name w:val="??? 2"/>
    <w:basedOn w:val="af"/>
    <w:next w:val="af"/>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正文文本 Char"/>
    <w:link w:val="a5"/>
    <w:semiHidden/>
    <w:qFormat/>
    <w:rPr>
      <w:rFonts w:ascii="Arial" w:hAnsi="Arial" w:cs="Arial"/>
      <w:color w:val="FF0000"/>
      <w:lang w:eastAsia="en-US"/>
    </w:rPr>
  </w:style>
  <w:style w:type="character" w:customStyle="1" w:styleId="Char0">
    <w:name w:val="批注文字 Char"/>
    <w:link w:val="a4"/>
    <w:semiHidden/>
    <w:qFormat/>
    <w:rPr>
      <w:rFonts w:ascii="Arial" w:hAnsi="Arial"/>
      <w:lang w:eastAsia="en-US"/>
    </w:rPr>
  </w:style>
  <w:style w:type="character" w:customStyle="1" w:styleId="Char4">
    <w:name w:val="标题 Char"/>
    <w:link w:val="a9"/>
    <w:uiPriority w:val="10"/>
    <w:rPr>
      <w:rFonts w:ascii="Arial" w:eastAsia="Times New Roman" w:hAnsi="Arial" w:cs="Arial"/>
      <w:b/>
      <w:bCs/>
      <w:kern w:val="28"/>
      <w:lang w:eastAsia="en-US"/>
    </w:rPr>
  </w:style>
  <w:style w:type="paragraph" w:customStyle="1" w:styleId="Source">
    <w:name w:val="Source"/>
    <w:basedOn w:val="a"/>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character" w:customStyle="1" w:styleId="Char3">
    <w:name w:val="页眉 Char"/>
    <w:basedOn w:val="a0"/>
    <w:link w:val="a8"/>
    <w:locked/>
    <w:rPr>
      <w:lang w:val="en-GB" w:eastAsia="en-US"/>
    </w:rPr>
  </w:style>
  <w:style w:type="paragraph" w:styleId="af0">
    <w:name w:val="List Paragraph"/>
    <w:basedOn w:val="a"/>
    <w:uiPriority w:val="34"/>
    <w:qFormat/>
    <w:pPr>
      <w:overflowPunct w:val="0"/>
      <w:autoSpaceDE w:val="0"/>
      <w:autoSpaceDN w:val="0"/>
      <w:adjustRightInd w:val="0"/>
      <w:spacing w:after="180"/>
      <w:ind w:left="720"/>
      <w:contextualSpacing/>
    </w:pPr>
  </w:style>
  <w:style w:type="character" w:customStyle="1" w:styleId="Char5">
    <w:name w:val="批注主题 Char"/>
    <w:basedOn w:val="Char0"/>
    <w:link w:val="aa"/>
    <w:uiPriority w:val="99"/>
    <w:semiHidden/>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CRCoverPage">
    <w:name w:val="CR Cover Page"/>
    <w:pPr>
      <w:spacing w:after="120"/>
    </w:pPr>
    <w:rPr>
      <w:rFonts w:ascii="Arial" w:eastAsia="Times New Roman" w:hAnsi="Arial"/>
      <w:lang w:val="en-GB" w:eastAsia="en-US"/>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Pr>
      <w:rFonts w:ascii="Arial" w:eastAsia="Times New Roman" w:hAnsi="Arial"/>
      <w:lang w:val="en-IN" w:eastAsia="en-US"/>
    </w:rPr>
  </w:style>
  <w:style w:type="character" w:customStyle="1" w:styleId="NOZchn">
    <w:name w:val="NO Zchn"/>
    <w:link w:val="NO"/>
    <w:qFormat/>
    <w:rPr>
      <w:rFonts w:eastAsia="Malgun Gothic"/>
      <w:color w:val="000000"/>
      <w:lang w:val="en-GB" w:eastAsia="ja-JP"/>
    </w:rPr>
  </w:style>
  <w:style w:type="paragraph" w:customStyle="1" w:styleId="10">
    <w:name w:val="修订1"/>
    <w:hidden/>
    <w:uiPriority w:val="99"/>
    <w:semiHidden/>
    <w:qFormat/>
    <w:rPr>
      <w:rFonts w:eastAsia="Times New Roman"/>
      <w:lang w:val="en-IN" w:eastAsia="en-US"/>
    </w:rPr>
  </w:style>
  <w:style w:type="character" w:customStyle="1" w:styleId="Char">
    <w:name w:val="文档结构图 Char"/>
    <w:basedOn w:val="a0"/>
    <w:link w:val="a3"/>
    <w:uiPriority w:val="99"/>
    <w:semiHidden/>
    <w:qFormat/>
    <w:rPr>
      <w:rFonts w:ascii="宋体" w:eastAsia="宋体"/>
      <w:sz w:val="18"/>
      <w:szCs w:val="18"/>
      <w:lang w:val="en-IN" w:eastAsia="en-US"/>
    </w:rPr>
  </w:style>
  <w:style w:type="paragraph" w:customStyle="1" w:styleId="EditorsNote">
    <w:name w:val="Editor's Note"/>
    <w:basedOn w:val="NO"/>
    <w:link w:val="EditorsNoteChar"/>
    <w:qFormat/>
    <w:pPr>
      <w:ind w:left="1560" w:hanging="1276"/>
    </w:pPr>
    <w:rPr>
      <w:rFonts w:eastAsia="Times New Roman"/>
      <w:color w:val="FF0000"/>
      <w:lang w:eastAsia="en-GB"/>
    </w:rPr>
  </w:style>
  <w:style w:type="character" w:customStyle="1" w:styleId="EditorsNoteChar">
    <w:name w:val="Editor's Note Char"/>
    <w:link w:val="EditorsNote"/>
    <w:qFormat/>
    <w:locked/>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748</Words>
  <Characters>4267</Characters>
  <Application>Microsoft Office Word</Application>
  <DocSecurity>0</DocSecurity>
  <Lines>35</Lines>
  <Paragraphs>10</Paragraphs>
  <ScaleCrop>false</ScaleCrop>
  <Company>ETSI Sophia Antipolis</Company>
  <LinksUpToDate>false</LinksUpToDate>
  <CharactersWithSpaces>5005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戴建强10168368</cp:lastModifiedBy>
  <cp:revision>5</cp:revision>
  <cp:lastPrinted>2002-04-22T23:10:00Z</cp:lastPrinted>
  <dcterms:created xsi:type="dcterms:W3CDTF">2022-11-04T06:44:00Z</dcterms:created>
  <dcterms:modified xsi:type="dcterms:W3CDTF">2022-11-06T06:07:00Z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y fmtid="{D5CDD505-2E9C-101B-9397-08002B2CF9AE}" pid="11" name="KSOProductBuildVer">
    <vt:lpwstr>2052-11.8.2.9022</vt:lpwstr>
  </property>
</Properties>
</file>